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D1" w:rsidRDefault="00A66AD1" w:rsidP="00A66AD1">
      <w:pPr>
        <w:spacing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………………………………..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</w:t>
      </w:r>
    </w:p>
    <w:p w:rsidR="00A66AD1" w:rsidRDefault="00A66AD1" w:rsidP="00A66AD1">
      <w:pPr>
        <w:spacing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wykonawcy)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(miejscowość, data)</w:t>
      </w:r>
    </w:p>
    <w:p w:rsidR="00A66AD1" w:rsidRDefault="00A66AD1" w:rsidP="00C27E9E">
      <w:pPr>
        <w:rPr>
          <w:rFonts w:ascii="Times New Roman" w:hAnsi="Times New Roman" w:cs="Times New Roman"/>
          <w:b/>
          <w:sz w:val="24"/>
          <w:szCs w:val="24"/>
        </w:rPr>
      </w:pPr>
    </w:p>
    <w:p w:rsidR="00C27E9E" w:rsidRPr="00C27E9E" w:rsidRDefault="00C27E9E" w:rsidP="00C27E9E">
      <w:pPr>
        <w:rPr>
          <w:rFonts w:ascii="Times New Roman" w:hAnsi="Times New Roman" w:cs="Times New Roman"/>
          <w:b/>
          <w:sz w:val="24"/>
          <w:szCs w:val="24"/>
        </w:rPr>
      </w:pPr>
      <w:r w:rsidRPr="00C27E9E">
        <w:rPr>
          <w:rFonts w:ascii="Times New Roman" w:hAnsi="Times New Roman" w:cs="Times New Roman"/>
          <w:b/>
          <w:sz w:val="24"/>
          <w:szCs w:val="24"/>
        </w:rPr>
        <w:t>Formularz cenowy - Opis przedmiotu zamówienia na dostawę profesjonalne środki czystości dla Przedszkola Publicznego nr 40 Rzeszowie</w:t>
      </w:r>
    </w:p>
    <w:p w:rsidR="001B74CE" w:rsidRPr="00C27E9E" w:rsidRDefault="00F5258E" w:rsidP="00C27E9E">
      <w:pPr>
        <w:rPr>
          <w:rFonts w:ascii="Times New Roman" w:hAnsi="Times New Roman" w:cs="Times New Roman"/>
          <w:sz w:val="24"/>
          <w:szCs w:val="24"/>
        </w:rPr>
      </w:pPr>
      <w:r w:rsidRPr="00C27E9E">
        <w:rPr>
          <w:rFonts w:ascii="Times New Roman" w:hAnsi="Times New Roman" w:cs="Times New Roman"/>
          <w:b/>
          <w:sz w:val="24"/>
          <w:szCs w:val="24"/>
        </w:rPr>
        <w:t>Środki czystości</w:t>
      </w:r>
      <w:r w:rsidR="004D1D9C" w:rsidRPr="00C27E9E">
        <w:rPr>
          <w:rFonts w:ascii="Times New Roman" w:hAnsi="Times New Roman" w:cs="Times New Roman"/>
          <w:b/>
          <w:sz w:val="24"/>
          <w:szCs w:val="24"/>
        </w:rPr>
        <w:t xml:space="preserve">  profesjonalne</w:t>
      </w:r>
      <w:r w:rsidR="000627F2" w:rsidRPr="00C27E9E">
        <w:rPr>
          <w:rFonts w:ascii="Times New Roman" w:hAnsi="Times New Roman" w:cs="Times New Roman"/>
          <w:sz w:val="24"/>
          <w:szCs w:val="24"/>
        </w:rPr>
        <w:t>– orientacyjna ilość zamawiana w</w:t>
      </w:r>
      <w:r w:rsidRPr="00C27E9E">
        <w:rPr>
          <w:rFonts w:ascii="Times New Roman" w:hAnsi="Times New Roman" w:cs="Times New Roman"/>
          <w:sz w:val="24"/>
          <w:szCs w:val="24"/>
        </w:rPr>
        <w:t xml:space="preserve"> roku</w:t>
      </w:r>
      <w:r w:rsidR="00E76305" w:rsidRPr="00C27E9E">
        <w:rPr>
          <w:rFonts w:ascii="Times New Roman" w:hAnsi="Times New Roman" w:cs="Times New Roman"/>
          <w:sz w:val="24"/>
          <w:szCs w:val="24"/>
        </w:rPr>
        <w:t xml:space="preserve"> ( w przypadku </w:t>
      </w:r>
      <w:r w:rsidR="00453911" w:rsidRPr="00C27E9E">
        <w:rPr>
          <w:rFonts w:ascii="Times New Roman" w:hAnsi="Times New Roman" w:cs="Times New Roman"/>
          <w:sz w:val="24"/>
          <w:szCs w:val="24"/>
        </w:rPr>
        <w:t xml:space="preserve"> równoważnego </w:t>
      </w:r>
      <w:r w:rsidR="00E76305" w:rsidRPr="00C27E9E">
        <w:rPr>
          <w:rFonts w:ascii="Times New Roman" w:hAnsi="Times New Roman" w:cs="Times New Roman"/>
          <w:sz w:val="24"/>
          <w:szCs w:val="24"/>
        </w:rPr>
        <w:t xml:space="preserve">zamiennika prosimy </w:t>
      </w:r>
      <w:r w:rsidR="009010B0" w:rsidRPr="00C27E9E">
        <w:rPr>
          <w:rFonts w:ascii="Times New Roman" w:hAnsi="Times New Roman" w:cs="Times New Roman"/>
          <w:sz w:val="24"/>
          <w:szCs w:val="24"/>
        </w:rPr>
        <w:t xml:space="preserve"> </w:t>
      </w:r>
      <w:r w:rsidR="00E76305" w:rsidRPr="00C27E9E">
        <w:rPr>
          <w:rFonts w:ascii="Times New Roman" w:hAnsi="Times New Roman" w:cs="Times New Roman"/>
          <w:sz w:val="24"/>
          <w:szCs w:val="24"/>
        </w:rPr>
        <w:t>o podanie nazwy produktu)</w:t>
      </w:r>
      <w:r w:rsidR="001B74CE" w:rsidRPr="00C27E9E">
        <w:rPr>
          <w:rFonts w:ascii="Times New Roman" w:hAnsi="Times New Roman" w:cs="Times New Roman"/>
          <w:sz w:val="24"/>
          <w:szCs w:val="24"/>
        </w:rPr>
        <w:t>W przypadku dostarczania produktów, dostawca zobowiązany jest do wypożyczenia placówce</w:t>
      </w:r>
      <w:r w:rsidR="00453911" w:rsidRPr="00C27E9E">
        <w:rPr>
          <w:rFonts w:ascii="Times New Roman" w:hAnsi="Times New Roman" w:cs="Times New Roman"/>
          <w:sz w:val="24"/>
          <w:szCs w:val="24"/>
        </w:rPr>
        <w:t xml:space="preserve"> bezpłatnych</w:t>
      </w:r>
      <w:r w:rsidR="001B74CE" w:rsidRPr="00C27E9E">
        <w:rPr>
          <w:rFonts w:ascii="Times New Roman" w:hAnsi="Times New Roman" w:cs="Times New Roman"/>
          <w:sz w:val="24"/>
          <w:szCs w:val="24"/>
        </w:rPr>
        <w:t xml:space="preserve"> dozowników na czas trwania umowy.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5764"/>
        <w:gridCol w:w="567"/>
        <w:gridCol w:w="709"/>
        <w:gridCol w:w="851"/>
        <w:gridCol w:w="992"/>
        <w:gridCol w:w="709"/>
        <w:gridCol w:w="1134"/>
        <w:gridCol w:w="1275"/>
        <w:gridCol w:w="1843"/>
      </w:tblGrid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64" w:type="dxa"/>
          </w:tcPr>
          <w:p w:rsidR="00C27E9E" w:rsidRPr="00BA6A0B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Asortyment</w:t>
            </w:r>
          </w:p>
        </w:tc>
        <w:tc>
          <w:tcPr>
            <w:tcW w:w="567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jm</w:t>
            </w:r>
            <w:proofErr w:type="spellEnd"/>
            <w:r w:rsidR="00BA6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27E9E" w:rsidRPr="00D04344" w:rsidRDefault="00C27E9E" w:rsidP="0057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 xml:space="preserve">Vat </w:t>
            </w: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275" w:type="dxa"/>
          </w:tcPr>
          <w:p w:rsidR="00C27E9E" w:rsidRPr="00D04344" w:rsidRDefault="00C27E9E" w:rsidP="0057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</w:p>
          <w:p w:rsidR="00C27E9E" w:rsidRPr="00D04344" w:rsidRDefault="00C27E9E" w:rsidP="0057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843" w:type="dxa"/>
          </w:tcPr>
          <w:p w:rsidR="00C27E9E" w:rsidRPr="00D04344" w:rsidRDefault="00C27E9E" w:rsidP="0057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Nazwa produktu</w:t>
            </w: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764" w:type="dxa"/>
          </w:tcPr>
          <w:p w:rsidR="00C27E9E" w:rsidRPr="00BA6A0B" w:rsidRDefault="00C27E9E" w:rsidP="00C2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>Płyn myjący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środek myjący do zmywarek - płynny koncentrat.</w:t>
            </w:r>
          </w:p>
          <w:p w:rsidR="00C27E9E" w:rsidRPr="00BA6A0B" w:rsidRDefault="00C27E9E" w:rsidP="00C2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Dzięki zawartości aktywnego chloru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skutecznie usuwa osady kawy 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br/>
              <w:t>i herbaty;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 płynny, alkaliczny środ</w:t>
            </w:r>
            <w:r w:rsidR="00674F13" w:rsidRPr="00BA6A0B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myjący skutecznie usuwający skrobię, działającym utleniająco oraz dobrze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wiążącym twardość wody. Produkt nadaje się do usuwania wszelkiego rodzaju pozostałości po posiłkach, także zaschnięte resztki są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skutecznie usuwane.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Nie niszczy porcelany, stali szlachetnej oraz tworzyw sztucznych. Nie nadaje się do aluminium, anodowanego aluminium 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i stopów metali lekkich.</w:t>
            </w:r>
            <w:r w:rsidR="00BA6A0B"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12 kg</w:t>
            </w:r>
          </w:p>
        </w:tc>
        <w:tc>
          <w:tcPr>
            <w:tcW w:w="567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="00BA6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C27E9E" w:rsidP="00E2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64" w:type="dxa"/>
          </w:tcPr>
          <w:p w:rsidR="00C27E9E" w:rsidRPr="00BA6A0B" w:rsidRDefault="00C27E9E" w:rsidP="00BA6A0B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b/>
                <w:i w:val="0"/>
                <w:sz w:val="20"/>
                <w:szCs w:val="20"/>
                <w:lang w:val="pl-PL"/>
              </w:rPr>
              <w:t>Płyn nabłyszczający</w:t>
            </w:r>
            <w:r w:rsidRPr="00BA6A0B">
              <w:rPr>
                <w:i w:val="0"/>
                <w:sz w:val="20"/>
                <w:szCs w:val="20"/>
                <w:lang w:val="pl-PL"/>
              </w:rPr>
              <w:t xml:space="preserve"> płynn</w:t>
            </w:r>
            <w:r w:rsidR="00674F13" w:rsidRPr="00BA6A0B">
              <w:rPr>
                <w:i w:val="0"/>
                <w:sz w:val="20"/>
                <w:szCs w:val="20"/>
                <w:lang w:val="pl-PL"/>
              </w:rPr>
              <w:t>y</w:t>
            </w:r>
            <w:r w:rsidRPr="00BA6A0B">
              <w:rPr>
                <w:i w:val="0"/>
                <w:sz w:val="20"/>
                <w:szCs w:val="20"/>
                <w:lang w:val="pl-PL"/>
              </w:rPr>
              <w:t>, neutralny środ</w:t>
            </w:r>
            <w:r w:rsidR="00674F13" w:rsidRPr="00BA6A0B">
              <w:rPr>
                <w:i w:val="0"/>
                <w:sz w:val="20"/>
                <w:szCs w:val="20"/>
                <w:lang w:val="pl-PL"/>
              </w:rPr>
              <w:t>ek</w:t>
            </w:r>
            <w:r w:rsidRPr="00BA6A0B">
              <w:rPr>
                <w:i w:val="0"/>
                <w:sz w:val="20"/>
                <w:szCs w:val="20"/>
                <w:lang w:val="pl-PL"/>
              </w:rPr>
              <w:t xml:space="preserve"> płuczą</w:t>
            </w:r>
            <w:r w:rsidR="00674F13" w:rsidRPr="00BA6A0B">
              <w:rPr>
                <w:i w:val="0"/>
                <w:sz w:val="20"/>
                <w:szCs w:val="20"/>
                <w:lang w:val="pl-PL"/>
              </w:rPr>
              <w:t>cy</w:t>
            </w:r>
            <w:r w:rsidRPr="00BA6A0B">
              <w:rPr>
                <w:i w:val="0"/>
                <w:sz w:val="20"/>
                <w:szCs w:val="20"/>
                <w:lang w:val="pl-PL"/>
              </w:rPr>
              <w:t>. Może być użyty w zmywarkach jednokomorowych, tunelach myjących oraz myjniach do dekontaminacji wózków we wszystkich powszechni</w:t>
            </w:r>
            <w:r w:rsidR="00BA6A0B" w:rsidRPr="00BA6A0B">
              <w:rPr>
                <w:i w:val="0"/>
                <w:sz w:val="20"/>
                <w:szCs w:val="20"/>
                <w:lang w:val="pl-PL"/>
              </w:rPr>
              <w:t xml:space="preserve">e dostępnych systemach płukania, </w:t>
            </w:r>
            <w:r w:rsidRPr="00BA6A0B">
              <w:rPr>
                <w:i w:val="0"/>
                <w:sz w:val="20"/>
                <w:szCs w:val="20"/>
                <w:lang w:val="pl-PL"/>
              </w:rPr>
              <w:t>zapobiega naciekom i kroplom wody na umytych powierzchniach.</w:t>
            </w:r>
            <w:r w:rsidR="00674F13" w:rsidRP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A6A0B">
              <w:rPr>
                <w:i w:val="0"/>
                <w:sz w:val="20"/>
                <w:szCs w:val="20"/>
              </w:rPr>
              <w:t>Nadaje</w:t>
            </w:r>
            <w:proofErr w:type="spellEnd"/>
            <w:r w:rsidRPr="00BA6A0B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BA6A0B">
              <w:rPr>
                <w:i w:val="0"/>
                <w:sz w:val="20"/>
                <w:szCs w:val="20"/>
              </w:rPr>
              <w:t>się</w:t>
            </w:r>
            <w:proofErr w:type="spellEnd"/>
            <w:r w:rsidRPr="00BA6A0B">
              <w:rPr>
                <w:i w:val="0"/>
                <w:sz w:val="20"/>
                <w:szCs w:val="20"/>
              </w:rPr>
              <w:t xml:space="preserve"> do </w:t>
            </w:r>
            <w:proofErr w:type="spellStart"/>
            <w:r w:rsidRPr="00BA6A0B">
              <w:rPr>
                <w:i w:val="0"/>
                <w:sz w:val="20"/>
                <w:szCs w:val="20"/>
              </w:rPr>
              <w:t>systemów</w:t>
            </w:r>
            <w:proofErr w:type="spellEnd"/>
            <w:r w:rsidRPr="00BA6A0B">
              <w:rPr>
                <w:i w:val="0"/>
                <w:sz w:val="20"/>
                <w:szCs w:val="20"/>
              </w:rPr>
              <w:t xml:space="preserve"> używających miękką wodę 10 l</w:t>
            </w:r>
            <w:r w:rsidRPr="00BA6A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="00BA6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64" w:type="dxa"/>
          </w:tcPr>
          <w:p w:rsidR="00C27E9E" w:rsidRPr="00BA6A0B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>Płyn do pielęgnacji stali nierdzewnej</w:t>
            </w:r>
            <w:r w:rsidRPr="00BA6A0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shd w:val="clear" w:color="auto" w:fill="FFFFFF"/>
              </w:rPr>
              <w:t>.</w:t>
            </w:r>
            <w:r w:rsidRPr="00BA6A0B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</w:rPr>
              <w:t xml:space="preserve"> Łatwo i skutecznie usuwa odciski palców, smugi i plamy. Powierzchnie ze stali nierdzewnej stają się czyste i błyszczące. Pozwala uniknąć powtórnego osadzania się zabrudzeń. Odpowiedni także do pielęgnacji zamków, zawiasów i przegubów w metodzie natryskowej. </w:t>
            </w:r>
            <w:r w:rsidR="00BA6A0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75 l</w:t>
            </w:r>
          </w:p>
        </w:tc>
        <w:tc>
          <w:tcPr>
            <w:tcW w:w="567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="00BA6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A32433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764" w:type="dxa"/>
          </w:tcPr>
          <w:p w:rsidR="00C27E9E" w:rsidRPr="00BA6A0B" w:rsidRDefault="00C27E9E" w:rsidP="00520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>Mleczko do czyszczenia garnków ze stali nierdzewnej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 xml:space="preserve"> Do manualnego czyszczenia zastawy stołowej, patelni,</w:t>
            </w:r>
            <w:r w:rsid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  <w:lang w:val="pl-PL"/>
              </w:rPr>
              <w:t>powierzchni kuchenek i zlewów we wszystkich obszarach</w:t>
            </w:r>
            <w:r w:rsid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  <w:lang w:val="pl-PL"/>
              </w:rPr>
              <w:t>przetwórstwa żywności takich jak zakłady zbiorowego żywienia.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rStyle w:val="Pogrubienie"/>
                <w:i w:val="0"/>
                <w:sz w:val="20"/>
                <w:szCs w:val="20"/>
                <w:lang w:val="pl-PL"/>
              </w:rPr>
              <w:t>Właściwości: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> - Silne działanie czyszczące.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> - Nie zawiera związków krzemowych.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> </w:t>
            </w:r>
            <w:r w:rsidRPr="00BA6A0B">
              <w:rPr>
                <w:i w:val="0"/>
                <w:sz w:val="20"/>
                <w:szCs w:val="20"/>
              </w:rPr>
              <w:t xml:space="preserve">- </w:t>
            </w:r>
            <w:proofErr w:type="spellStart"/>
            <w:r w:rsidRPr="00BA6A0B">
              <w:rPr>
                <w:i w:val="0"/>
                <w:sz w:val="20"/>
                <w:szCs w:val="20"/>
              </w:rPr>
              <w:t>Łatwy</w:t>
            </w:r>
            <w:proofErr w:type="spellEnd"/>
            <w:r w:rsidRPr="00BA6A0B">
              <w:rPr>
                <w:i w:val="0"/>
                <w:sz w:val="20"/>
                <w:szCs w:val="20"/>
              </w:rPr>
              <w:t xml:space="preserve"> do </w:t>
            </w:r>
            <w:proofErr w:type="spellStart"/>
            <w:r w:rsidRPr="00BA6A0B">
              <w:rPr>
                <w:i w:val="0"/>
                <w:sz w:val="20"/>
                <w:szCs w:val="20"/>
              </w:rPr>
              <w:t>spłukania</w:t>
            </w:r>
            <w:proofErr w:type="spellEnd"/>
            <w:r w:rsidRPr="00BA6A0B">
              <w:rPr>
                <w:i w:val="0"/>
                <w:sz w:val="20"/>
                <w:szCs w:val="20"/>
              </w:rPr>
              <w:t>.</w:t>
            </w:r>
          </w:p>
          <w:p w:rsidR="00C27E9E" w:rsidRPr="00BA6A0B" w:rsidRDefault="00C27E9E" w:rsidP="00913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E9E" w:rsidRPr="00D04344" w:rsidRDefault="00BA6A0B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7E9E" w:rsidRPr="00D04344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A32433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4" w:type="dxa"/>
          </w:tcPr>
          <w:p w:rsidR="00C27E9E" w:rsidRPr="00BA6A0B" w:rsidRDefault="00C27E9E" w:rsidP="0006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>Sól do zmiękczacza zmywarki 25 k</w:t>
            </w:r>
            <w:r w:rsidR="00D04344"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04344" w:rsidRPr="00BA6A0B" w:rsidRDefault="00D04344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E9E" w:rsidRPr="00D04344" w:rsidRDefault="00BA6A0B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7E9E" w:rsidRPr="00D04344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A32433" w:rsidP="00AA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64" w:type="dxa"/>
          </w:tcPr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b/>
                <w:i w:val="0"/>
                <w:sz w:val="20"/>
                <w:szCs w:val="20"/>
                <w:lang w:val="pl-PL"/>
              </w:rPr>
              <w:t>Preparat do gruntowego mycia powierzchni do kontaktu z żywnością</w:t>
            </w:r>
            <w:r w:rsidRPr="00BA6A0B">
              <w:rPr>
                <w:i w:val="0"/>
                <w:sz w:val="20"/>
                <w:szCs w:val="20"/>
                <w:lang w:val="pl-PL"/>
              </w:rPr>
              <w:t xml:space="preserve"> Do łączonego mycia i dezynfekcji powierzchni oraz wyposażenia w obszarach przetwórstwa żywności takich jak zakłady zbiorowego żywienia, masarnie czy piekarnie.</w:t>
            </w:r>
            <w:r w:rsid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  <w:lang w:val="pl-PL"/>
              </w:rPr>
              <w:t>Skutecznie usuwa zanieczyszczenia z powierzchni, wyposażenia czy podłóg. Wykazuje działanie dezynfekcyjne.</w:t>
            </w:r>
            <w:r w:rsid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  <w:lang w:val="pl-PL"/>
              </w:rPr>
              <w:t>Bakteriobójczy, drożdż</w:t>
            </w:r>
            <w:r w:rsidR="00BA6A0B">
              <w:rPr>
                <w:i w:val="0"/>
                <w:sz w:val="20"/>
                <w:szCs w:val="20"/>
                <w:lang w:val="pl-PL"/>
              </w:rPr>
              <w:t>ako</w:t>
            </w:r>
            <w:r w:rsidRPr="00BA6A0B">
              <w:rPr>
                <w:i w:val="0"/>
                <w:sz w:val="20"/>
                <w:szCs w:val="20"/>
                <w:lang w:val="pl-PL"/>
              </w:rPr>
              <w:t>bójczy oraz działa na wirusy osłonkowe.</w:t>
            </w:r>
            <w:r w:rsid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  <w:lang w:val="pl-PL"/>
              </w:rPr>
              <w:t>Odpowiedni do praktycznie wszystkich materiałów typu stal chromowo-niklowa, stal zwykła, metale lekkie i nieżelazne oraz ich stopy,</w:t>
            </w:r>
            <w:r w:rsidR="00D04344" w:rsidRP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  <w:lang w:val="pl-PL"/>
              </w:rPr>
              <w:t>a także tworzywa sztuczne.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>Środek powinien być wstępnie sprawdzony na powierzchnie z anodowanego aluminium.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b/>
                <w:i w:val="0"/>
                <w:sz w:val="20"/>
                <w:szCs w:val="20"/>
                <w:lang w:val="pl-PL"/>
              </w:rPr>
            </w:pPr>
            <w:proofErr w:type="spellStart"/>
            <w:r w:rsidRPr="00BA6A0B">
              <w:rPr>
                <w:rStyle w:val="Pogrubienie"/>
                <w:b w:val="0"/>
                <w:i w:val="0"/>
                <w:sz w:val="20"/>
                <w:szCs w:val="20"/>
                <w:lang w:val="pl-PL"/>
              </w:rPr>
              <w:t>Własciwości</w:t>
            </w:r>
            <w:proofErr w:type="spellEnd"/>
            <w:r w:rsidRPr="00BA6A0B">
              <w:rPr>
                <w:rStyle w:val="Pogrubienie"/>
                <w:b w:val="0"/>
                <w:i w:val="0"/>
                <w:sz w:val="20"/>
                <w:szCs w:val="20"/>
                <w:lang w:val="pl-PL"/>
              </w:rPr>
              <w:t>: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>Doskonałe działanie myjące.</w:t>
            </w:r>
          </w:p>
          <w:p w:rsidR="00C27E9E" w:rsidRPr="00BA6A0B" w:rsidRDefault="00C27E9E" w:rsidP="00C27E9E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 xml:space="preserve">Skuteczność bakteriobójcza i </w:t>
            </w:r>
            <w:proofErr w:type="spellStart"/>
            <w:r w:rsidRPr="00BA6A0B">
              <w:rPr>
                <w:i w:val="0"/>
                <w:sz w:val="20"/>
                <w:szCs w:val="20"/>
                <w:lang w:val="pl-PL"/>
              </w:rPr>
              <w:t>drożdżakobójcza</w:t>
            </w:r>
            <w:proofErr w:type="spellEnd"/>
            <w:r w:rsidRPr="00BA6A0B">
              <w:rPr>
                <w:i w:val="0"/>
                <w:sz w:val="20"/>
                <w:szCs w:val="20"/>
                <w:lang w:val="pl-PL"/>
              </w:rPr>
              <w:t xml:space="preserve"> została potwierdzona badaniami według standardów europejskich PN-EN 1276, PN-EN 1650,PN-EN 13697.</w:t>
            </w:r>
          </w:p>
          <w:p w:rsidR="00C27E9E" w:rsidRPr="00BA6A0B" w:rsidRDefault="00C27E9E" w:rsidP="00BA6A0B">
            <w:pPr>
              <w:pStyle w:val="HTML-adres"/>
              <w:shd w:val="clear" w:color="auto" w:fill="FFFFFF"/>
              <w:rPr>
                <w:i w:val="0"/>
                <w:sz w:val="20"/>
                <w:szCs w:val="20"/>
                <w:lang w:val="pl-PL"/>
              </w:rPr>
            </w:pPr>
            <w:r w:rsidRPr="00BA6A0B">
              <w:rPr>
                <w:i w:val="0"/>
                <w:sz w:val="20"/>
                <w:szCs w:val="20"/>
                <w:lang w:val="pl-PL"/>
              </w:rPr>
              <w:t>Nie zawiera kompozycji zapachowych i koloryzujących.</w:t>
            </w:r>
            <w:r w:rsidR="00BA6A0B">
              <w:rPr>
                <w:i w:val="0"/>
                <w:sz w:val="20"/>
                <w:szCs w:val="20"/>
                <w:lang w:val="pl-PL"/>
              </w:rPr>
              <w:t xml:space="preserve"> </w:t>
            </w:r>
            <w:r w:rsidRPr="00BA6A0B">
              <w:rPr>
                <w:i w:val="0"/>
                <w:sz w:val="20"/>
                <w:szCs w:val="20"/>
              </w:rPr>
              <w:t>10</w:t>
            </w:r>
            <w:r w:rsidR="00BA6A0B">
              <w:rPr>
                <w:i w:val="0"/>
                <w:sz w:val="20"/>
                <w:szCs w:val="20"/>
              </w:rPr>
              <w:t xml:space="preserve"> </w:t>
            </w:r>
            <w:r w:rsidRPr="00BA6A0B">
              <w:rPr>
                <w:i w:val="0"/>
                <w:sz w:val="20"/>
                <w:szCs w:val="20"/>
              </w:rPr>
              <w:t>l</w:t>
            </w:r>
          </w:p>
        </w:tc>
        <w:tc>
          <w:tcPr>
            <w:tcW w:w="567" w:type="dxa"/>
          </w:tcPr>
          <w:p w:rsidR="00C27E9E" w:rsidRPr="00D04344" w:rsidRDefault="00BA6A0B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7E9E" w:rsidRPr="00D04344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64" w:type="dxa"/>
          </w:tcPr>
          <w:p w:rsidR="00C27E9E" w:rsidRPr="00BA6A0B" w:rsidRDefault="00674F13" w:rsidP="00A5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>Płyn czyszczący</w:t>
            </w:r>
            <w:r w:rsidR="00D04344" w:rsidRPr="00BA6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pieca konwekcyjno- parowego</w:t>
            </w: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do wszystkich </w:t>
            </w:r>
            <w:proofErr w:type="spellStart"/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CombiMaster</w:t>
            </w:r>
            <w:proofErr w:type="spellEnd"/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® i </w:t>
            </w:r>
            <w:proofErr w:type="spellStart"/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ClimaPlus</w:t>
            </w:r>
            <w:proofErr w:type="spellEnd"/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Combi</w:t>
            </w:r>
            <w:proofErr w:type="spellEnd"/>
            <w:r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®. Stanowi idealną całość do osiągnięcia higienicznej czystości i pielęgnacji. W szczególności w przypadku zabrudzeń powstałych w temperaturze &lt;200°C. Środek nieżrący. Można stosować do czyszczenia ręcznego zgodnie z instrukcją pieca. </w:t>
            </w:r>
            <w:r w:rsidR="00C27E9E" w:rsidRPr="00BA6A0B">
              <w:rPr>
                <w:rFonts w:ascii="Times New Roman" w:hAnsi="Times New Roman" w:cs="Times New Roman"/>
                <w:sz w:val="20"/>
                <w:szCs w:val="20"/>
              </w:rPr>
              <w:t xml:space="preserve">10 kg </w:t>
            </w:r>
          </w:p>
        </w:tc>
        <w:tc>
          <w:tcPr>
            <w:tcW w:w="567" w:type="dxa"/>
          </w:tcPr>
          <w:p w:rsidR="00C27E9E" w:rsidRPr="00D04344" w:rsidRDefault="00BA6A0B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7E9E" w:rsidRPr="00D04344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9E" w:rsidRPr="00D04344" w:rsidTr="00632C72">
        <w:tc>
          <w:tcPr>
            <w:tcW w:w="58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4" w:type="dxa"/>
          </w:tcPr>
          <w:p w:rsidR="00C27E9E" w:rsidRPr="00BA6A0B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9E" w:rsidRPr="00BA6A0B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0B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567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1E6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E9E" w:rsidRPr="00D04344" w:rsidRDefault="00C27E9E" w:rsidP="0006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2CC2" w:rsidRDefault="00E22CC2" w:rsidP="00352F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7F2" w:rsidRPr="000627F2" w:rsidRDefault="00E22CC2" w:rsidP="00352F4F">
      <w:pPr>
        <w:rPr>
          <w:sz w:val="28"/>
          <w:szCs w:val="28"/>
        </w:rPr>
      </w:pPr>
      <w:r>
        <w:rPr>
          <w:sz w:val="28"/>
          <w:szCs w:val="28"/>
        </w:rPr>
        <w:t>Pieczątka Firmowa</w:t>
      </w:r>
      <w:r w:rsidR="00352F4F">
        <w:rPr>
          <w:sz w:val="28"/>
          <w:szCs w:val="28"/>
        </w:rPr>
        <w:tab/>
      </w:r>
      <w:r w:rsidR="00352F4F">
        <w:rPr>
          <w:sz w:val="28"/>
          <w:szCs w:val="28"/>
        </w:rPr>
        <w:tab/>
      </w:r>
      <w:r w:rsidR="00352F4F">
        <w:rPr>
          <w:sz w:val="28"/>
          <w:szCs w:val="28"/>
        </w:rPr>
        <w:tab/>
      </w:r>
      <w:r w:rsidR="00352F4F">
        <w:rPr>
          <w:sz w:val="28"/>
          <w:szCs w:val="28"/>
        </w:rPr>
        <w:tab/>
      </w:r>
      <w:r w:rsidR="005662B4">
        <w:rPr>
          <w:sz w:val="28"/>
          <w:szCs w:val="28"/>
        </w:rPr>
        <w:t>Data i podpis</w:t>
      </w:r>
    </w:p>
    <w:sectPr w:rsidR="000627F2" w:rsidRPr="000627F2" w:rsidSect="00C27E9E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F2"/>
    <w:rsid w:val="00052ED3"/>
    <w:rsid w:val="000627F2"/>
    <w:rsid w:val="00065C6C"/>
    <w:rsid w:val="0008206D"/>
    <w:rsid w:val="000B6B5B"/>
    <w:rsid w:val="00166011"/>
    <w:rsid w:val="00193726"/>
    <w:rsid w:val="001B74CE"/>
    <w:rsid w:val="001E615B"/>
    <w:rsid w:val="002454F1"/>
    <w:rsid w:val="002565E3"/>
    <w:rsid w:val="0032661E"/>
    <w:rsid w:val="003333DA"/>
    <w:rsid w:val="00352707"/>
    <w:rsid w:val="00352F4F"/>
    <w:rsid w:val="00453911"/>
    <w:rsid w:val="004B4696"/>
    <w:rsid w:val="004D1D9C"/>
    <w:rsid w:val="00520F6C"/>
    <w:rsid w:val="005662B4"/>
    <w:rsid w:val="005748F7"/>
    <w:rsid w:val="005903D1"/>
    <w:rsid w:val="005A7283"/>
    <w:rsid w:val="005B46B0"/>
    <w:rsid w:val="005C3F68"/>
    <w:rsid w:val="005E49C0"/>
    <w:rsid w:val="005E7E2F"/>
    <w:rsid w:val="00614772"/>
    <w:rsid w:val="00632C72"/>
    <w:rsid w:val="0064588B"/>
    <w:rsid w:val="00674F13"/>
    <w:rsid w:val="006F2A99"/>
    <w:rsid w:val="0071372B"/>
    <w:rsid w:val="00730ED7"/>
    <w:rsid w:val="00735430"/>
    <w:rsid w:val="007610AC"/>
    <w:rsid w:val="007D7780"/>
    <w:rsid w:val="007D7F71"/>
    <w:rsid w:val="009010B0"/>
    <w:rsid w:val="00913768"/>
    <w:rsid w:val="00953B0F"/>
    <w:rsid w:val="00A32433"/>
    <w:rsid w:val="00A53C01"/>
    <w:rsid w:val="00A66AD1"/>
    <w:rsid w:val="00A87256"/>
    <w:rsid w:val="00AA4E8E"/>
    <w:rsid w:val="00B054F5"/>
    <w:rsid w:val="00B4235A"/>
    <w:rsid w:val="00B85CBE"/>
    <w:rsid w:val="00BA6A0B"/>
    <w:rsid w:val="00BC60EB"/>
    <w:rsid w:val="00C27E9E"/>
    <w:rsid w:val="00C377C6"/>
    <w:rsid w:val="00C97B8E"/>
    <w:rsid w:val="00D04344"/>
    <w:rsid w:val="00DA7148"/>
    <w:rsid w:val="00DB77E0"/>
    <w:rsid w:val="00DC7D5C"/>
    <w:rsid w:val="00E22CC2"/>
    <w:rsid w:val="00E23F1D"/>
    <w:rsid w:val="00E76305"/>
    <w:rsid w:val="00ED6A1E"/>
    <w:rsid w:val="00F5258E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5F56"/>
  <w15:docId w15:val="{720A1474-DF7C-4D69-9057-B964F6F7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7F2"/>
    <w:pPr>
      <w:ind w:left="720"/>
      <w:contextualSpacing/>
    </w:pPr>
  </w:style>
  <w:style w:type="paragraph" w:styleId="HTML-adres">
    <w:name w:val="HTML Address"/>
    <w:basedOn w:val="Normalny"/>
    <w:link w:val="HTML-adresZnak"/>
    <w:uiPriority w:val="99"/>
    <w:unhideWhenUsed/>
    <w:rsid w:val="00C27E9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-adresZnak">
    <w:name w:val="HTML - adres Znak"/>
    <w:basedOn w:val="Domylnaczcionkaakapitu"/>
    <w:link w:val="HTML-adres"/>
    <w:uiPriority w:val="99"/>
    <w:rsid w:val="00C27E9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C27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PP40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PP40</dc:creator>
  <cp:lastModifiedBy>Regina Pasierb</cp:lastModifiedBy>
  <cp:revision>12</cp:revision>
  <cp:lastPrinted>2017-12-13T08:56:00Z</cp:lastPrinted>
  <dcterms:created xsi:type="dcterms:W3CDTF">2019-11-13T11:29:00Z</dcterms:created>
  <dcterms:modified xsi:type="dcterms:W3CDTF">2021-12-10T12:20:00Z</dcterms:modified>
</cp:coreProperties>
</file>